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eastAsia="黑体"/>
          <w:sz w:val="40"/>
          <w:szCs w:val="40"/>
        </w:rPr>
      </w:pPr>
      <w:r>
        <w:rPr>
          <w:rFonts w:hint="eastAsia"/>
          <w:sz w:val="40"/>
          <w:szCs w:val="40"/>
          <w:lang w:bidi="hi-IN"/>
        </w:rPr>
        <w:t>20</w:t>
      </w:r>
      <w:r>
        <w:rPr>
          <w:rFonts w:hint="eastAsia"/>
          <w:sz w:val="40"/>
          <w:szCs w:val="40"/>
          <w:lang w:val="en-US" w:eastAsia="zh-CN" w:bidi="hi-IN"/>
        </w:rPr>
        <w:t>21</w:t>
      </w:r>
      <w:bookmarkStart w:id="0" w:name="_GoBack"/>
      <w:bookmarkEnd w:id="0"/>
      <w:r>
        <w:rPr>
          <w:rFonts w:eastAsia="黑体"/>
          <w:sz w:val="40"/>
          <w:szCs w:val="40"/>
        </w:rPr>
        <w:t>年硕士研究生入学考试自命题考试大纲</w:t>
      </w:r>
    </w:p>
    <w:p>
      <w:pPr>
        <w:spacing w:line="500" w:lineRule="exact"/>
        <w:jc w:val="center"/>
        <w:rPr>
          <w:rFonts w:eastAsia="方正书宋简体"/>
          <w:sz w:val="24"/>
        </w:rPr>
      </w:pPr>
      <w:r>
        <w:rPr>
          <w:rFonts w:eastAsia="方正书宋简体"/>
          <w:sz w:val="24"/>
        </w:rPr>
        <w:t>考试科目代码：[</w:t>
      </w:r>
      <w:r>
        <w:rPr>
          <w:rFonts w:hint="eastAsia" w:eastAsia="方正书宋简体"/>
          <w:sz w:val="24"/>
        </w:rPr>
        <w:t xml:space="preserve">     </w:t>
      </w:r>
      <w:r>
        <w:rPr>
          <w:rFonts w:eastAsia="方正书宋简体"/>
          <w:sz w:val="24"/>
        </w:rPr>
        <w:t>]               考试科目名称：</w:t>
      </w:r>
      <w:r>
        <w:rPr>
          <w:rFonts w:hint="eastAsia" w:hAnsi="宋体"/>
          <w:sz w:val="24"/>
          <w:lang w:bidi="hi-IN"/>
        </w:rPr>
        <w:t>贸易经济学</w:t>
      </w:r>
    </w:p>
    <w:p>
      <w:pPr>
        <w:spacing w:beforeLines="50" w:afterLines="50" w:line="500" w:lineRule="exact"/>
        <w:ind w:firstLine="630" w:firstLineChars="196"/>
        <w:rPr>
          <w:rFonts w:ascii="黑体" w:hAnsi="黑体" w:eastAsia="黑体"/>
          <w:b/>
          <w:sz w:val="32"/>
          <w:szCs w:val="32"/>
        </w:rPr>
      </w:pPr>
      <w:r>
        <w:rPr>
          <w:rFonts w:hint="eastAsia" w:ascii="黑体" w:hAnsi="黑体" w:eastAsia="黑体"/>
          <w:b/>
          <w:sz w:val="32"/>
          <w:szCs w:val="32"/>
        </w:rPr>
        <w:t>一、试卷结构</w:t>
      </w:r>
    </w:p>
    <w:p>
      <w:pPr>
        <w:spacing w:beforeLines="50" w:afterLines="50"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1、试卷成绩及考试时间</w:t>
      </w:r>
    </w:p>
    <w:p>
      <w:pPr>
        <w:spacing w:beforeLines="50" w:afterLines="50"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bidi="hi-IN"/>
        </w:rPr>
        <w:t>本试卷满分为150分，考试时间为120分钟。</w:t>
      </w:r>
    </w:p>
    <w:p>
      <w:pPr>
        <w:spacing w:beforeLines="50" w:afterLines="50"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2、答题方式：</w:t>
      </w:r>
      <w:r>
        <w:rPr>
          <w:rFonts w:hint="eastAsia" w:ascii="仿宋" w:hAnsi="仿宋" w:eastAsia="仿宋" w:cs="仿宋"/>
          <w:sz w:val="28"/>
          <w:szCs w:val="28"/>
          <w:lang w:bidi="hi-IN"/>
        </w:rPr>
        <w:t>闭卷、笔试</w:t>
      </w:r>
    </w:p>
    <w:p>
      <w:pPr>
        <w:spacing w:beforeLines="50" w:afterLines="50"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3、题型结构</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论  述  题：4小题，每小题28分，共112分</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分  析  题：1小题，每小题38分，共38分</w:t>
      </w:r>
    </w:p>
    <w:p>
      <w:pPr>
        <w:spacing w:beforeLines="50" w:afterLines="50" w:line="500" w:lineRule="exact"/>
        <w:ind w:firstLine="630" w:firstLineChars="196"/>
        <w:rPr>
          <w:rFonts w:ascii="仿宋_GB2312" w:hAnsi="黑体" w:eastAsia="仿宋_GB2312"/>
          <w:b/>
          <w:sz w:val="32"/>
          <w:szCs w:val="32"/>
        </w:rPr>
      </w:pPr>
      <w:r>
        <w:rPr>
          <w:rFonts w:hint="eastAsia" w:ascii="黑体" w:hAnsi="黑体" w:eastAsia="黑体"/>
          <w:b/>
          <w:sz w:val="32"/>
          <w:szCs w:val="32"/>
        </w:rPr>
        <w:t>二、考试内容与考试要求</w:t>
      </w:r>
    </w:p>
    <w:p>
      <w:pPr>
        <w:spacing w:line="500" w:lineRule="exact"/>
        <w:ind w:firstLine="480"/>
        <w:rPr>
          <w:rFonts w:ascii="仿宋_GB2312" w:eastAsia="仿宋_GB2312"/>
          <w:b/>
          <w:sz w:val="32"/>
          <w:szCs w:val="32"/>
          <w:lang w:bidi="hi-IN"/>
        </w:rPr>
      </w:pPr>
      <w:r>
        <w:rPr>
          <w:rFonts w:hint="eastAsia" w:ascii="仿宋_GB2312" w:hAnsi="宋体" w:eastAsia="仿宋_GB2312"/>
          <w:b/>
          <w:sz w:val="32"/>
          <w:szCs w:val="32"/>
          <w:lang w:bidi="hi-IN"/>
        </w:rPr>
        <w:t>●考试目标：</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1、系统掌握贸易经济学的基本知识、基本概念和基本理论。</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2、理解贸易经济运动的规律，理解贸易经济的理论体系及其发展演变。</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3、能够运用贸易经济学的基本理论和研究方法分析和解决现实贸易问题。</w:t>
      </w:r>
    </w:p>
    <w:p>
      <w:pPr>
        <w:spacing w:line="500" w:lineRule="exact"/>
        <w:ind w:firstLine="480"/>
        <w:rPr>
          <w:rFonts w:ascii="仿宋_GB2312" w:hAnsi="宋体" w:eastAsia="仿宋_GB2312"/>
          <w:b/>
          <w:sz w:val="32"/>
          <w:szCs w:val="32"/>
          <w:lang w:bidi="hi-IN"/>
        </w:rPr>
      </w:pPr>
      <w:r>
        <w:rPr>
          <w:rFonts w:hint="eastAsia" w:ascii="仿宋_GB2312" w:hAnsi="宋体" w:eastAsia="仿宋_GB2312"/>
          <w:b/>
          <w:sz w:val="32"/>
          <w:szCs w:val="32"/>
          <w:lang w:bidi="hi-IN"/>
        </w:rPr>
        <w:t>●考试内容</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（一）导论</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1.贸易理论演进。（1）马克思主义贸易理论。（2）西方贸易理论演进。（3）当代贸易理论简介。</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2.贸易经济学研究概述。</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3.贸易经济研究方法</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（二）贸易的产生与发展</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1、贸易活动的产生及条件。</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2、贸易活动的发展。（1）西方古代贸易的发展。（2）西方现代贸易的发展及特点。（3）中国古代贸易的特点。</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3、贸易在社会经济中的地位与作用。（1）生产与交换的关系。（2）分配与交换的关系。（3）消费与交换的关系。</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（三）贸易与市场</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1、市场是贸易的载体。（1）市场的多种含义.（2）市场的类型。（3）市场的基本功能。</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2、市场供求与贸易。（1）市场供给的分析。（2）市场需求的分析。（3）贸易以及市场供求规律。</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3、市场竞争与贸易。（1）贸易与市场竞争关系。（2）贸易竞争的类型。（3）贸易竞争效应分析。</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（四）贸易运行</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1、贸易运行要素。（1）贸易主要运行要素。（2）贸易从业人员数量增多及原因。（3）贸易资本分类及筹集。（4）贸易物质手段及发展趋势。（5）贸易信息分类及特点。</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2、贸易运行环境。（1）贸易运行的经济环境。（2）贸易运行的非经济环境。（3）人口流动对贸易的影响</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3、贸易运行机制。（1）贸易运行动力分析。（2）贸易决策机制、约束机制。（3）贸易运行机制的实施条件。</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4、贸易运行规律。（1）贸易网点分布规律。（2）贸易利润分布规律。（3）贸易竞争规律。</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（五）贸易中的流通渠道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1、流通渠道及其形式。（1）流通渠道的含义和意义。（2）流通渠道的多种形式。（3）产销合一渠道、产销分离渠道与产销结合渠道。（4）自组织渠道与组织化渠道。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2、流通渠道的经济属性与渠道发展。（1）流通渠道的经济属性。（2）流通渠道的长度、宽度及广度分析。（3）流通渠道的发展。</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3、流通渠道的形成机制与渠道配置。（1）流通渠道的形成机制。（2）流通渠道的影响因素。（3）基于流通渠道的流通网络。（4）流通渠道的配置方式。</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（六）空间贸易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1、城乡贸易。（1）城乡差别与农村市场的特点。（2） 城乡贸易的物质内容及其演变。（3）城乡贸易的实现方式。（4）我国城乡贸易现状及其改善。</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2、区际贸易。（1）行政区域与经济区域。（2）区际贸易的二重涵义。（3）区际贸易发展的动因。（4）区际贸易发展的层次性。（5）国内统一市场建设。</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3、国际贸易。（1）国际贸易与国内贸易的差异。（2）国际贸易格局发展演变。（3）经济全球化加速发展与国际贸易的新趋势。（4）后金融危机阶段的中国贸易。（5）发展我国国际贸易的对策。</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（七）分类贸易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1、贸易行业与贸易分类。</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2、商品贸易。（1）商品的类型。（2）商品贸易的基本类型。</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3、生产要素贸易。（1）资本贸易。（2）劳动力贸易。（3）技术、信息贸易。（4）房地产贸易。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4、服务贸易。（1）服务贸易的涵义、种类及特点。（2）影响服务贸易发展的因素。（3）当代国际服务贸易发展的特点。（4）中国服务贸易的发展。</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（八）批发贸易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1、批发贸易的涵义、类型与特点。</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2、批发贸易的功能和制约因素。（1）批发贸易的职能。（2）批发贸易的作用。（3）影响批发贸易的因素。</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3、批发交易组织。（1）批发交易组织的涵义、功能与类型。（2）批发市场与批发贸易中心。（3）商品交易所。</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（九）零售贸易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1、零售贸易与零售业。（1）零售贸易的涵义与特点。（2）零售贸易的功能。（3）零售商与零售业。（4）零售贸易中的经济关系。</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2、零售贸易的业态。（1）零售业态的涵义。（2）零售业态的构成要素。（3）零售业态的外在表现形式。（4）零售业态的类型及分类规范。（5）零售业态演化的理论学说。</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3、零售贸易的发展。（1）零售的四次革命。（2）零售贸易的发展趋势。</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（十）期货贸易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1、期货贸易涵义与功能。（1）期货贸易与现货贸易关系。（2）期货贸易与远期贸易关系。（3）期货贸易的特点。（4）期货贸易的产生与发展。（5）期货贸易的功能。</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2、期货贸易组织。（1）期货交易所。（2）期货经纪机构。（3）期货贸易者。</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3、期货贸易流程。</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（十一）网络贸易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 xml:space="preserve"> 1、网络贸易的含义和模式。（1）网络贸易的含义和内涵。（2）网络贸易的特点。（3）网络贸易的模式。</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2、网络贸易的功能。（1）网络贸易的基本功能。（2）网络贸易的经济功能。（3）网络贸易的管理功能。</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3、网络贸易的交易流程。（1）网络贸易的一般交易流程。（2）主要电子商务模式的交易流程。</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4、网络贸易的发展。（1）网络贸易的发展历程。（2）网络贸易的发展现状。（3）网络贸易的发展趋势。</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（十二）物流服务贸易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1、贸易中的商流和物流。（1）贸易中商流与物流的结合。（2）现代贸易中物流的特征。</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2、现代贸易物流服务模式。（1）电子商务物流服务模式。（2）共同配送物流服务模式。（3）区域批发市场物流服务模式。（4）第四方物流服务模式。（5）绿色物流服务模式。（6）期货贸易的物流服务模式。</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3、物流服务贸易的发展。（1）物流服务贸易的发展及作用。（2）物流服务的主要交易方式。（3）物流服务贸易方式的发展。</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（十三）贸易现代化</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1、贸易现代化的内涵及意义。</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2、贸易现代化的内容及实现途径。</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3、贸易现代化的主要趋势。</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（十四）贸易宏观调控</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1、贸易宏观调控的必要性及层次。</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2、贸易宏观调控的主要目标。</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3、贸易调控体系。（1）贸易调控的主要手段。（2）贸易规制。</w:t>
      </w:r>
    </w:p>
    <w:p>
      <w:pPr>
        <w:spacing w:line="500" w:lineRule="exact"/>
        <w:ind w:firstLine="645"/>
        <w:rPr>
          <w:rFonts w:hint="eastAsia" w:ascii="仿宋" w:hAnsi="仿宋" w:eastAsia="仿宋" w:cs="仿宋"/>
          <w:sz w:val="28"/>
          <w:szCs w:val="28"/>
          <w:lang w:bidi="hi-IN"/>
        </w:rPr>
      </w:pPr>
    </w:p>
    <w:sectPr>
      <w:footerReference r:id="rId3" w:type="default"/>
      <w:pgSz w:w="12240" w:h="15840"/>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书宋简体">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fldChar w:fldCharType="begin"/>
    </w:r>
    <w:r>
      <w:instrText xml:space="preserve">PAGE   \* MERGEFORMAT</w:instrText>
    </w:r>
    <w:r>
      <w:fldChar w:fldCharType="separate"/>
    </w:r>
    <w:r>
      <w:rPr>
        <w:lang w:val="zh-CN"/>
      </w:rPr>
      <w:t>7</w:t>
    </w:r>
    <w:r>
      <w:rPr>
        <w:lang w:val="zh-C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5A3949"/>
    <w:rsid w:val="000135B8"/>
    <w:rsid w:val="00021238"/>
    <w:rsid w:val="00027EE0"/>
    <w:rsid w:val="0003131A"/>
    <w:rsid w:val="000369B0"/>
    <w:rsid w:val="000404AC"/>
    <w:rsid w:val="000574D6"/>
    <w:rsid w:val="000665D5"/>
    <w:rsid w:val="00066DD6"/>
    <w:rsid w:val="0007669B"/>
    <w:rsid w:val="0007794D"/>
    <w:rsid w:val="00080DEB"/>
    <w:rsid w:val="000814E3"/>
    <w:rsid w:val="00087C21"/>
    <w:rsid w:val="00087F52"/>
    <w:rsid w:val="00091710"/>
    <w:rsid w:val="000A020D"/>
    <w:rsid w:val="000A1B7D"/>
    <w:rsid w:val="000A2F11"/>
    <w:rsid w:val="000D28D4"/>
    <w:rsid w:val="000E35BF"/>
    <w:rsid w:val="000E421D"/>
    <w:rsid w:val="000E6F3F"/>
    <w:rsid w:val="00111AB1"/>
    <w:rsid w:val="00116C74"/>
    <w:rsid w:val="001330D7"/>
    <w:rsid w:val="0013334D"/>
    <w:rsid w:val="001725C3"/>
    <w:rsid w:val="00181158"/>
    <w:rsid w:val="00190665"/>
    <w:rsid w:val="00194889"/>
    <w:rsid w:val="001A6161"/>
    <w:rsid w:val="001D0A89"/>
    <w:rsid w:val="001D3689"/>
    <w:rsid w:val="00212456"/>
    <w:rsid w:val="0021792D"/>
    <w:rsid w:val="00226C83"/>
    <w:rsid w:val="002412B0"/>
    <w:rsid w:val="002504ED"/>
    <w:rsid w:val="00251CBC"/>
    <w:rsid w:val="00255B84"/>
    <w:rsid w:val="00256855"/>
    <w:rsid w:val="00261938"/>
    <w:rsid w:val="00263EE8"/>
    <w:rsid w:val="00273341"/>
    <w:rsid w:val="002A1D2E"/>
    <w:rsid w:val="002A4BBD"/>
    <w:rsid w:val="002B1A41"/>
    <w:rsid w:val="002B5AE5"/>
    <w:rsid w:val="002C6E8E"/>
    <w:rsid w:val="002E4FFD"/>
    <w:rsid w:val="002F6261"/>
    <w:rsid w:val="00306DC0"/>
    <w:rsid w:val="00312547"/>
    <w:rsid w:val="00331D6D"/>
    <w:rsid w:val="003419B0"/>
    <w:rsid w:val="00356899"/>
    <w:rsid w:val="00381F12"/>
    <w:rsid w:val="00397EC5"/>
    <w:rsid w:val="003B4B08"/>
    <w:rsid w:val="003B67BC"/>
    <w:rsid w:val="003D19FF"/>
    <w:rsid w:val="003D7241"/>
    <w:rsid w:val="003E1869"/>
    <w:rsid w:val="003F5BDB"/>
    <w:rsid w:val="004072EC"/>
    <w:rsid w:val="004131E4"/>
    <w:rsid w:val="0044194A"/>
    <w:rsid w:val="0044507E"/>
    <w:rsid w:val="00447FC9"/>
    <w:rsid w:val="004619CB"/>
    <w:rsid w:val="004717D5"/>
    <w:rsid w:val="0047297F"/>
    <w:rsid w:val="00497647"/>
    <w:rsid w:val="004E5087"/>
    <w:rsid w:val="004E693C"/>
    <w:rsid w:val="004F2B32"/>
    <w:rsid w:val="004F36BB"/>
    <w:rsid w:val="004F4767"/>
    <w:rsid w:val="005069B6"/>
    <w:rsid w:val="005253BD"/>
    <w:rsid w:val="00544686"/>
    <w:rsid w:val="005A3949"/>
    <w:rsid w:val="005A4DBD"/>
    <w:rsid w:val="005B2C55"/>
    <w:rsid w:val="005E03E3"/>
    <w:rsid w:val="005E096C"/>
    <w:rsid w:val="005E1552"/>
    <w:rsid w:val="005E5CB7"/>
    <w:rsid w:val="005F39CE"/>
    <w:rsid w:val="005F3C29"/>
    <w:rsid w:val="006058C3"/>
    <w:rsid w:val="006477DA"/>
    <w:rsid w:val="00651F88"/>
    <w:rsid w:val="006541B0"/>
    <w:rsid w:val="00672539"/>
    <w:rsid w:val="00673670"/>
    <w:rsid w:val="00676AE8"/>
    <w:rsid w:val="00686D22"/>
    <w:rsid w:val="006A4B33"/>
    <w:rsid w:val="006C5124"/>
    <w:rsid w:val="006D3662"/>
    <w:rsid w:val="006D6807"/>
    <w:rsid w:val="006D7798"/>
    <w:rsid w:val="006D7990"/>
    <w:rsid w:val="006F1EED"/>
    <w:rsid w:val="007056C2"/>
    <w:rsid w:val="007149D2"/>
    <w:rsid w:val="00726B6E"/>
    <w:rsid w:val="007341F8"/>
    <w:rsid w:val="00750094"/>
    <w:rsid w:val="00755FC7"/>
    <w:rsid w:val="00756BAF"/>
    <w:rsid w:val="0078534B"/>
    <w:rsid w:val="007A10E6"/>
    <w:rsid w:val="007A4B18"/>
    <w:rsid w:val="007D52ED"/>
    <w:rsid w:val="007E11BB"/>
    <w:rsid w:val="007E45B8"/>
    <w:rsid w:val="007E5579"/>
    <w:rsid w:val="008067F6"/>
    <w:rsid w:val="00832019"/>
    <w:rsid w:val="0083746E"/>
    <w:rsid w:val="0085155E"/>
    <w:rsid w:val="00852EEF"/>
    <w:rsid w:val="00856D27"/>
    <w:rsid w:val="00873234"/>
    <w:rsid w:val="00875922"/>
    <w:rsid w:val="0088452C"/>
    <w:rsid w:val="008861EA"/>
    <w:rsid w:val="008972FA"/>
    <w:rsid w:val="008C347D"/>
    <w:rsid w:val="008D2A76"/>
    <w:rsid w:val="008E3978"/>
    <w:rsid w:val="008E4172"/>
    <w:rsid w:val="008F108C"/>
    <w:rsid w:val="008F55BE"/>
    <w:rsid w:val="008F5CA7"/>
    <w:rsid w:val="00912FCF"/>
    <w:rsid w:val="0091463D"/>
    <w:rsid w:val="009240E5"/>
    <w:rsid w:val="00924BB1"/>
    <w:rsid w:val="00933BA5"/>
    <w:rsid w:val="009364D1"/>
    <w:rsid w:val="00950916"/>
    <w:rsid w:val="0095490F"/>
    <w:rsid w:val="00963341"/>
    <w:rsid w:val="00964B39"/>
    <w:rsid w:val="00981531"/>
    <w:rsid w:val="00981B5F"/>
    <w:rsid w:val="009A7BF2"/>
    <w:rsid w:val="009C21CA"/>
    <w:rsid w:val="009D15F9"/>
    <w:rsid w:val="009F7B87"/>
    <w:rsid w:val="00A24DE0"/>
    <w:rsid w:val="00A33BE7"/>
    <w:rsid w:val="00A34AFB"/>
    <w:rsid w:val="00A81F8C"/>
    <w:rsid w:val="00A831B2"/>
    <w:rsid w:val="00A86696"/>
    <w:rsid w:val="00A927B5"/>
    <w:rsid w:val="00A93F1E"/>
    <w:rsid w:val="00A97979"/>
    <w:rsid w:val="00AB11D3"/>
    <w:rsid w:val="00AF7E69"/>
    <w:rsid w:val="00B00093"/>
    <w:rsid w:val="00B52ECD"/>
    <w:rsid w:val="00B62D5D"/>
    <w:rsid w:val="00B64F13"/>
    <w:rsid w:val="00B806D4"/>
    <w:rsid w:val="00B94222"/>
    <w:rsid w:val="00B95084"/>
    <w:rsid w:val="00BA641D"/>
    <w:rsid w:val="00BB293D"/>
    <w:rsid w:val="00BB5CE8"/>
    <w:rsid w:val="00BE1D99"/>
    <w:rsid w:val="00C3760E"/>
    <w:rsid w:val="00C42928"/>
    <w:rsid w:val="00C47D48"/>
    <w:rsid w:val="00C57A4E"/>
    <w:rsid w:val="00C60278"/>
    <w:rsid w:val="00C60B53"/>
    <w:rsid w:val="00C73154"/>
    <w:rsid w:val="00C84187"/>
    <w:rsid w:val="00C86964"/>
    <w:rsid w:val="00C920EA"/>
    <w:rsid w:val="00C93F6C"/>
    <w:rsid w:val="00CA00D4"/>
    <w:rsid w:val="00CA7590"/>
    <w:rsid w:val="00CB2CFE"/>
    <w:rsid w:val="00CB3CE4"/>
    <w:rsid w:val="00CB72BA"/>
    <w:rsid w:val="00CB74AE"/>
    <w:rsid w:val="00CC0CEF"/>
    <w:rsid w:val="00CC411A"/>
    <w:rsid w:val="00CD01D2"/>
    <w:rsid w:val="00CD503D"/>
    <w:rsid w:val="00CD63B4"/>
    <w:rsid w:val="00CE7EE4"/>
    <w:rsid w:val="00CF5308"/>
    <w:rsid w:val="00CF61EB"/>
    <w:rsid w:val="00CF6AEA"/>
    <w:rsid w:val="00D01786"/>
    <w:rsid w:val="00D4633B"/>
    <w:rsid w:val="00D46D3E"/>
    <w:rsid w:val="00D46DA8"/>
    <w:rsid w:val="00D5014E"/>
    <w:rsid w:val="00D506E1"/>
    <w:rsid w:val="00D568A1"/>
    <w:rsid w:val="00D62ED6"/>
    <w:rsid w:val="00D67CD6"/>
    <w:rsid w:val="00D94645"/>
    <w:rsid w:val="00DA0D1B"/>
    <w:rsid w:val="00DA6CD4"/>
    <w:rsid w:val="00DB2E24"/>
    <w:rsid w:val="00DC1DFD"/>
    <w:rsid w:val="00DC3951"/>
    <w:rsid w:val="00DC5F02"/>
    <w:rsid w:val="00DE1D6E"/>
    <w:rsid w:val="00DE445D"/>
    <w:rsid w:val="00DE7C20"/>
    <w:rsid w:val="00DF040D"/>
    <w:rsid w:val="00DF14D2"/>
    <w:rsid w:val="00E11186"/>
    <w:rsid w:val="00E23DEB"/>
    <w:rsid w:val="00E4469A"/>
    <w:rsid w:val="00E65E3D"/>
    <w:rsid w:val="00E708D7"/>
    <w:rsid w:val="00E973C5"/>
    <w:rsid w:val="00EB1965"/>
    <w:rsid w:val="00EC4525"/>
    <w:rsid w:val="00EE7907"/>
    <w:rsid w:val="00F2439C"/>
    <w:rsid w:val="00F2684D"/>
    <w:rsid w:val="00F308D9"/>
    <w:rsid w:val="00F36A83"/>
    <w:rsid w:val="00F7013B"/>
    <w:rsid w:val="00F7181C"/>
    <w:rsid w:val="00F7387A"/>
    <w:rsid w:val="00F8073B"/>
    <w:rsid w:val="00F82C7E"/>
    <w:rsid w:val="00F94676"/>
    <w:rsid w:val="00F94792"/>
    <w:rsid w:val="00F97D3C"/>
    <w:rsid w:val="00FA2AAD"/>
    <w:rsid w:val="00FB5002"/>
    <w:rsid w:val="00FC1F53"/>
    <w:rsid w:val="00FC1FFC"/>
    <w:rsid w:val="00FC356E"/>
    <w:rsid w:val="00FD3FE2"/>
    <w:rsid w:val="00FD4975"/>
    <w:rsid w:val="00FE4CD9"/>
    <w:rsid w:val="00FE7B04"/>
    <w:rsid w:val="00FF3806"/>
    <w:rsid w:val="00FF652E"/>
    <w:rsid w:val="09A23EE1"/>
    <w:rsid w:val="0E9C041D"/>
    <w:rsid w:val="1B063828"/>
    <w:rsid w:val="30E64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4"/>
    <w:semiHidden/>
    <w:unhideWhenUsed/>
    <w:uiPriority w:val="99"/>
    <w:rPr>
      <w:b/>
      <w:bCs/>
    </w:rPr>
  </w:style>
  <w:style w:type="paragraph" w:styleId="3">
    <w:name w:val="annotation text"/>
    <w:basedOn w:val="1"/>
    <w:link w:val="13"/>
    <w:semiHidden/>
    <w:unhideWhenUsed/>
    <w:qFormat/>
    <w:uiPriority w:val="99"/>
    <w:rPr>
      <w:sz w:val="20"/>
      <w:szCs w:val="20"/>
    </w:rPr>
  </w:style>
  <w:style w:type="paragraph" w:styleId="4">
    <w:name w:val="Balloon Text"/>
    <w:basedOn w:val="1"/>
    <w:link w:val="15"/>
    <w:semiHidden/>
    <w:unhideWhenUsed/>
    <w:uiPriority w:val="99"/>
    <w:pPr>
      <w:spacing w:after="0" w:line="240" w:lineRule="auto"/>
    </w:pPr>
    <w:rPr>
      <w:rFonts w:ascii="微软雅黑" w:eastAsia="微软雅黑"/>
      <w:sz w:val="18"/>
      <w:szCs w:val="18"/>
    </w:rPr>
  </w:style>
  <w:style w:type="paragraph" w:styleId="5">
    <w:name w:val="footer"/>
    <w:basedOn w:val="1"/>
    <w:link w:val="12"/>
    <w:unhideWhenUsed/>
    <w:uiPriority w:val="99"/>
    <w:pPr>
      <w:tabs>
        <w:tab w:val="center" w:pos="4680"/>
        <w:tab w:val="right" w:pos="9360"/>
      </w:tabs>
      <w:spacing w:after="0" w:line="240" w:lineRule="auto"/>
    </w:pPr>
  </w:style>
  <w:style w:type="paragraph" w:styleId="6">
    <w:name w:val="header"/>
    <w:basedOn w:val="1"/>
    <w:link w:val="11"/>
    <w:unhideWhenUsed/>
    <w:uiPriority w:val="99"/>
    <w:pPr>
      <w:tabs>
        <w:tab w:val="center" w:pos="4680"/>
        <w:tab w:val="right" w:pos="9360"/>
      </w:tabs>
      <w:spacing w:after="0" w:line="240" w:lineRule="auto"/>
    </w:pPr>
  </w:style>
  <w:style w:type="character" w:styleId="8">
    <w:name w:val="Hyperlink"/>
    <w:basedOn w:val="7"/>
    <w:qFormat/>
    <w:uiPriority w:val="0"/>
    <w:rPr>
      <w:color w:val="0000FF"/>
      <w:u w:val="single"/>
    </w:rPr>
  </w:style>
  <w:style w:type="character" w:styleId="9">
    <w:name w:val="annotation reference"/>
    <w:semiHidden/>
    <w:unhideWhenUsed/>
    <w:qFormat/>
    <w:uiPriority w:val="99"/>
    <w:rPr>
      <w:sz w:val="16"/>
      <w:szCs w:val="16"/>
    </w:rPr>
  </w:style>
  <w:style w:type="character" w:customStyle="1" w:styleId="11">
    <w:name w:val="页眉 Char"/>
    <w:basedOn w:val="7"/>
    <w:link w:val="6"/>
    <w:qFormat/>
    <w:uiPriority w:val="99"/>
  </w:style>
  <w:style w:type="character" w:customStyle="1" w:styleId="12">
    <w:name w:val="页脚 Char"/>
    <w:basedOn w:val="7"/>
    <w:link w:val="5"/>
    <w:qFormat/>
    <w:uiPriority w:val="99"/>
  </w:style>
  <w:style w:type="character" w:customStyle="1" w:styleId="13">
    <w:name w:val="批注文字 Char"/>
    <w:basedOn w:val="7"/>
    <w:link w:val="3"/>
    <w:semiHidden/>
    <w:qFormat/>
    <w:uiPriority w:val="99"/>
  </w:style>
  <w:style w:type="character" w:customStyle="1" w:styleId="14">
    <w:name w:val="批注主题 Char"/>
    <w:link w:val="2"/>
    <w:semiHidden/>
    <w:qFormat/>
    <w:uiPriority w:val="99"/>
    <w:rPr>
      <w:b/>
      <w:bCs/>
    </w:rPr>
  </w:style>
  <w:style w:type="character" w:customStyle="1" w:styleId="15">
    <w:name w:val="批注框文本 Char"/>
    <w:link w:val="4"/>
    <w:semiHidden/>
    <w:qFormat/>
    <w:uiPriority w:val="99"/>
    <w:rPr>
      <w:rFonts w:ascii="微软雅黑" w:eastAsia="微软雅黑"/>
      <w:sz w:val="18"/>
      <w:szCs w:val="18"/>
    </w:rPr>
  </w:style>
  <w:style w:type="character" w:customStyle="1" w:styleId="16">
    <w:name w:val="大纲正文 Char"/>
    <w:basedOn w:val="7"/>
    <w:link w:val="17"/>
    <w:qFormat/>
    <w:locked/>
    <w:uiPriority w:val="0"/>
    <w:rPr>
      <w:rFonts w:ascii="宋体" w:hAnsi="宋体" w:eastAsia="宋体"/>
      <w:color w:val="000000"/>
      <w:kern w:val="2"/>
      <w:sz w:val="24"/>
      <w:szCs w:val="24"/>
      <w:lang w:val="en-US" w:eastAsia="zh-CN" w:bidi="ar-SA"/>
    </w:rPr>
  </w:style>
  <w:style w:type="paragraph" w:customStyle="1" w:styleId="17">
    <w:name w:val="大纲正文"/>
    <w:basedOn w:val="1"/>
    <w:link w:val="16"/>
    <w:qFormat/>
    <w:uiPriority w:val="0"/>
    <w:pPr>
      <w:widowControl w:val="0"/>
      <w:spacing w:after="0" w:line="400" w:lineRule="exact"/>
      <w:ind w:firstLine="200" w:firstLineChars="200"/>
      <w:jc w:val="both"/>
    </w:pPr>
    <w:rPr>
      <w:rFonts w:ascii="宋体" w:hAnsi="宋体"/>
      <w:color w:val="000000"/>
      <w:kern w:val="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375</Words>
  <Characters>2144</Characters>
  <Lines>17</Lines>
  <Paragraphs>5</Paragraphs>
  <TotalTime>3</TotalTime>
  <ScaleCrop>false</ScaleCrop>
  <LinksUpToDate>false</LinksUpToDate>
  <CharactersWithSpaces>2514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2016-05-17T10:46:00Z</dcterms:created>
  <dc:creator>Jianjiang</dc:creator>
  <cp:lastModifiedBy>admin</cp:lastModifiedBy>
  <dcterms:modified xsi:type="dcterms:W3CDTF">2020-09-01T01:48:00Z</dcterms:modified>
  <dc:title>西方经济学部分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2052-10.1.0.7520</vt:lpwstr>
  </property>
</Properties>
</file>